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250A12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717A6A" w:rsidRPr="00717A6A">
        <w:rPr>
          <w:rFonts w:ascii="Calibri" w:hAnsi="Calibri" w:cs="Arial"/>
          <w:b/>
          <w:sz w:val="24"/>
          <w:szCs w:val="24"/>
        </w:rPr>
        <w:sym w:font="Wingdings 2" w:char="F050"/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0C4A6A0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890378">
        <w:rPr>
          <w:rFonts w:ascii="Calibri" w:hAnsi="Calibri"/>
        </w:rPr>
        <w:t>5.</w:t>
      </w:r>
      <w:r w:rsidR="00D10CF3">
        <w:rPr>
          <w:rFonts w:ascii="Calibri" w:hAnsi="Calibri"/>
        </w:rPr>
        <w:t>9.3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12A78F31" w:rsidR="00A34B6F" w:rsidRPr="003A4E95" w:rsidRDefault="004C3368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Confirmed</w:t>
      </w:r>
      <w:r w:rsidR="00CE09A1">
        <w:rPr>
          <w:rFonts w:asciiTheme="minorHAnsi" w:hAnsiTheme="minorHAnsi"/>
          <w:color w:val="00558C"/>
        </w:rPr>
        <w:t xml:space="preserve"> </w:t>
      </w:r>
      <w:r w:rsidR="00890378">
        <w:rPr>
          <w:rFonts w:asciiTheme="minorHAnsi" w:hAnsiTheme="minorHAnsi"/>
          <w:color w:val="00558C"/>
        </w:rPr>
        <w:t>M</w:t>
      </w:r>
      <w:r w:rsidR="00CE09A1">
        <w:rPr>
          <w:rFonts w:asciiTheme="minorHAnsi" w:hAnsiTheme="minorHAnsi"/>
          <w:color w:val="00558C"/>
        </w:rPr>
        <w:t xml:space="preserve">eeting </w:t>
      </w:r>
      <w:r w:rsidR="00890378">
        <w:rPr>
          <w:rFonts w:asciiTheme="minorHAnsi" w:hAnsiTheme="minorHAnsi"/>
          <w:color w:val="00558C"/>
        </w:rPr>
        <w:t>D</w:t>
      </w:r>
      <w:r w:rsidR="00CE09A1">
        <w:rPr>
          <w:rFonts w:asciiTheme="minorHAnsi" w:hAnsiTheme="minorHAnsi"/>
          <w:color w:val="00558C"/>
        </w:rPr>
        <w:t xml:space="preserve">ates </w:t>
      </w:r>
      <w:r w:rsidR="00A23887">
        <w:rPr>
          <w:rFonts w:asciiTheme="minorHAnsi" w:hAnsiTheme="minorHAnsi"/>
          <w:color w:val="00558C"/>
        </w:rPr>
        <w:t>Second Half</w:t>
      </w:r>
      <w:r w:rsidR="00CE09A1">
        <w:rPr>
          <w:rFonts w:asciiTheme="minorHAnsi" w:hAnsiTheme="minorHAnsi"/>
          <w:color w:val="00558C"/>
        </w:rPr>
        <w:t xml:space="preserve"> 2020</w:t>
      </w:r>
    </w:p>
    <w:p w14:paraId="3C0FDD74" w14:textId="32668448" w:rsidR="002E7740" w:rsidRDefault="003A4E95" w:rsidP="000C390D">
      <w:pPr>
        <w:pStyle w:val="Heading1"/>
      </w:pPr>
      <w:r w:rsidRPr="000C390D">
        <w:t>Background</w:t>
      </w:r>
      <w:bookmarkStart w:id="0" w:name="_GoBack"/>
      <w:bookmarkEnd w:id="0"/>
    </w:p>
    <w:p w14:paraId="3645E21E" w14:textId="25A24072" w:rsidR="00CE09A1" w:rsidRDefault="004C3368" w:rsidP="00CE09A1">
      <w:pPr>
        <w:pStyle w:val="BodyText"/>
        <w:rPr>
          <w:lang w:eastAsia="de-DE"/>
        </w:rPr>
      </w:pPr>
      <w:r>
        <w:rPr>
          <w:lang w:eastAsia="de-DE"/>
        </w:rPr>
        <w:t>PAP37 agreed meeting dates for the first half of 2020, in order to have them known one year in advance, as required by many Committee participants</w:t>
      </w:r>
      <w:r w:rsidR="00CE09A1">
        <w:rPr>
          <w:lang w:eastAsia="de-DE"/>
        </w:rPr>
        <w:t>.</w:t>
      </w:r>
      <w:r>
        <w:rPr>
          <w:lang w:eastAsia="de-DE"/>
        </w:rPr>
        <w:t xml:space="preserve">  PAP37 also agreed provisional dates for the second half of the same year, to be confirmed at PAP38.</w:t>
      </w:r>
    </w:p>
    <w:p w14:paraId="29FFAEA9" w14:textId="2122BFA0" w:rsidR="00CE09A1" w:rsidRPr="00CE09A1" w:rsidRDefault="00CE09A1" w:rsidP="00CE09A1">
      <w:pPr>
        <w:pStyle w:val="Heading1"/>
        <w:numPr>
          <w:ilvl w:val="1"/>
          <w:numId w:val="33"/>
        </w:numPr>
        <w:rPr>
          <w:caps w:val="0"/>
          <w:smallCaps/>
        </w:rPr>
      </w:pPr>
      <w:r w:rsidRPr="00CE09A1">
        <w:rPr>
          <w:caps w:val="0"/>
          <w:smallCaps/>
        </w:rPr>
        <w:t>Details</w:t>
      </w:r>
    </w:p>
    <w:p w14:paraId="09A1D987" w14:textId="3FF933B0" w:rsidR="00CE09A1" w:rsidRDefault="004C3368" w:rsidP="00CE09A1">
      <w:pPr>
        <w:pStyle w:val="BodyText"/>
        <w:rPr>
          <w:lang w:eastAsia="de-DE"/>
        </w:rPr>
      </w:pPr>
      <w:r>
        <w:rPr>
          <w:lang w:eastAsia="de-DE"/>
        </w:rPr>
        <w:t>Since PAP37 the Committee secretarial arrangements have changed slightly and one additional meeting will be held at the Headquarters, which led to a revision of the meeting dates proposed for the second half of 2020</w:t>
      </w:r>
      <w:r w:rsidR="00854302">
        <w:rPr>
          <w:lang w:eastAsia="de-DE"/>
        </w:rPr>
        <w:t>.</w:t>
      </w:r>
      <w:r>
        <w:rPr>
          <w:lang w:eastAsia="de-DE"/>
        </w:rPr>
        <w:t xml:space="preserve"> The revised meeting dates suggested for the period 1</w:t>
      </w:r>
      <w:r w:rsidRPr="004C3368">
        <w:rPr>
          <w:vertAlign w:val="superscript"/>
          <w:lang w:eastAsia="de-DE"/>
        </w:rPr>
        <w:t>st</w:t>
      </w:r>
      <w:r>
        <w:rPr>
          <w:lang w:eastAsia="de-DE"/>
        </w:rPr>
        <w:t xml:space="preserve"> July 2020 – 31</w:t>
      </w:r>
      <w:r w:rsidRPr="004C3368">
        <w:rPr>
          <w:vertAlign w:val="superscript"/>
          <w:lang w:eastAsia="de-DE"/>
        </w:rPr>
        <w:t>st</w:t>
      </w:r>
      <w:r>
        <w:rPr>
          <w:lang w:eastAsia="de-DE"/>
        </w:rPr>
        <w:t xml:space="preserve"> December 2020 are contained in the table below.</w:t>
      </w:r>
    </w:p>
    <w:p w14:paraId="5640C712" w14:textId="7C44BA8B" w:rsidR="004C3368" w:rsidRDefault="004C3368" w:rsidP="00CE09A1">
      <w:pPr>
        <w:pStyle w:val="BodyText"/>
        <w:rPr>
          <w:lang w:eastAsia="de-DE"/>
        </w:rPr>
      </w:pPr>
      <w:r>
        <w:rPr>
          <w:lang w:eastAsia="de-DE"/>
        </w:rPr>
        <w:t>The ones appearing in bold characters are fixed and cannot be changed.</w:t>
      </w:r>
    </w:p>
    <w:tbl>
      <w:tblPr>
        <w:tblStyle w:val="TableGrid"/>
        <w:tblW w:w="0" w:type="auto"/>
        <w:tblBorders>
          <w:top w:val="single" w:sz="4" w:space="0" w:color="00558C"/>
          <w:left w:val="single" w:sz="4" w:space="0" w:color="00558C"/>
          <w:bottom w:val="single" w:sz="4" w:space="0" w:color="00558C"/>
          <w:right w:val="single" w:sz="4" w:space="0" w:color="00558C"/>
          <w:insideH w:val="single" w:sz="4" w:space="0" w:color="00558C"/>
          <w:insideV w:val="single" w:sz="4" w:space="0" w:color="00558C"/>
        </w:tblBorders>
        <w:tblLook w:val="04A0" w:firstRow="1" w:lastRow="0" w:firstColumn="1" w:lastColumn="0" w:noHBand="0" w:noVBand="1"/>
      </w:tblPr>
      <w:tblGrid>
        <w:gridCol w:w="2442"/>
        <w:gridCol w:w="2443"/>
        <w:gridCol w:w="2443"/>
        <w:gridCol w:w="2443"/>
      </w:tblGrid>
      <w:tr w:rsidR="004C3368" w:rsidRPr="00C45B34" w14:paraId="6421F2E2" w14:textId="77777777" w:rsidTr="00F00F3D">
        <w:tc>
          <w:tcPr>
            <w:tcW w:w="2442" w:type="dxa"/>
            <w:tcBorders>
              <w:bottom w:val="single" w:sz="4" w:space="0" w:color="auto"/>
            </w:tcBorders>
            <w:shd w:val="clear" w:color="auto" w:fill="00558C"/>
          </w:tcPr>
          <w:p w14:paraId="7CEE6603" w14:textId="77777777" w:rsidR="004C3368" w:rsidRPr="00C45B34" w:rsidRDefault="004C3368" w:rsidP="00F00F3D">
            <w:pPr>
              <w:pStyle w:val="BodyText"/>
              <w:tabs>
                <w:tab w:val="center" w:pos="1113"/>
              </w:tabs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Event</w:t>
            </w:r>
          </w:p>
        </w:tc>
        <w:tc>
          <w:tcPr>
            <w:tcW w:w="2443" w:type="dxa"/>
            <w:tcBorders>
              <w:bottom w:val="single" w:sz="4" w:space="0" w:color="auto"/>
            </w:tcBorders>
            <w:shd w:val="clear" w:color="auto" w:fill="00558C"/>
          </w:tcPr>
          <w:p w14:paraId="60CC6F28" w14:textId="77777777" w:rsidR="004C3368" w:rsidRPr="00C45B34" w:rsidRDefault="004C3368" w:rsidP="00F00F3D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Week No.</w:t>
            </w:r>
          </w:p>
        </w:tc>
        <w:tc>
          <w:tcPr>
            <w:tcW w:w="2443" w:type="dxa"/>
            <w:tcBorders>
              <w:bottom w:val="single" w:sz="4" w:space="0" w:color="auto"/>
            </w:tcBorders>
            <w:shd w:val="clear" w:color="auto" w:fill="00558C"/>
          </w:tcPr>
          <w:p w14:paraId="1DD14B4B" w14:textId="77777777" w:rsidR="004C3368" w:rsidRPr="00C45B34" w:rsidRDefault="004C3368" w:rsidP="00F00F3D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Dates</w:t>
            </w:r>
          </w:p>
        </w:tc>
        <w:tc>
          <w:tcPr>
            <w:tcW w:w="2443" w:type="dxa"/>
            <w:tcBorders>
              <w:bottom w:val="single" w:sz="4" w:space="0" w:color="auto"/>
            </w:tcBorders>
            <w:shd w:val="clear" w:color="auto" w:fill="00558C"/>
          </w:tcPr>
          <w:p w14:paraId="01423618" w14:textId="77777777" w:rsidR="004C3368" w:rsidRPr="00C45B34" w:rsidRDefault="004C3368" w:rsidP="00F00F3D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Comments</w:t>
            </w:r>
          </w:p>
        </w:tc>
      </w:tr>
      <w:tr w:rsidR="004C3368" w:rsidRPr="00E460E0" w14:paraId="1FACBD77" w14:textId="77777777" w:rsidTr="00F00F3D"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C2D7" w14:textId="77777777" w:rsidR="004C3368" w:rsidRPr="00E460E0" w:rsidRDefault="004C3368" w:rsidP="00F00F3D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5EEA" w14:textId="77777777" w:rsidR="004C3368" w:rsidRPr="00E460E0" w:rsidRDefault="004C3368" w:rsidP="00F00F3D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0250" w14:textId="77777777" w:rsidR="004C3368" w:rsidRPr="00E460E0" w:rsidRDefault="004C3368" w:rsidP="00F00F3D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7F97" w14:textId="77777777" w:rsidR="004C3368" w:rsidRPr="00E460E0" w:rsidRDefault="004C3368" w:rsidP="00F00F3D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</w:tr>
      <w:tr w:rsidR="004C3368" w14:paraId="44F7325D" w14:textId="77777777" w:rsidTr="00F00F3D">
        <w:tc>
          <w:tcPr>
            <w:tcW w:w="2442" w:type="dxa"/>
            <w:shd w:val="clear" w:color="auto" w:fill="B8CCE4" w:themeFill="accent1" w:themeFillTint="66"/>
          </w:tcPr>
          <w:p w14:paraId="40ED5094" w14:textId="77777777" w:rsidR="004C3368" w:rsidRDefault="004C3368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PAP40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6B390924" w14:textId="77777777" w:rsidR="004C3368" w:rsidRDefault="004C3368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37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06209FF2" w14:textId="2F99169F" w:rsidR="004C3368" w:rsidRDefault="004C3368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9-1</w:t>
            </w:r>
            <w:r w:rsidR="00D314C6">
              <w:rPr>
                <w:lang w:eastAsia="de-DE"/>
              </w:rPr>
              <w:t>0</w:t>
            </w:r>
            <w:r>
              <w:rPr>
                <w:lang w:eastAsia="de-DE"/>
              </w:rPr>
              <w:t xml:space="preserve"> September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CA4AFC0" w14:textId="54EFBFAF" w:rsidR="004C3368" w:rsidRDefault="004C3368" w:rsidP="00D314C6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  <w:r w:rsidR="00D314C6">
              <w:rPr>
                <w:lang w:eastAsia="de-DE"/>
              </w:rPr>
              <w:t xml:space="preserve"> </w:t>
            </w:r>
          </w:p>
        </w:tc>
      </w:tr>
      <w:tr w:rsidR="004C3368" w14:paraId="1FCBE615" w14:textId="77777777" w:rsidTr="00F00F3D">
        <w:tc>
          <w:tcPr>
            <w:tcW w:w="2442" w:type="dxa"/>
            <w:shd w:val="clear" w:color="auto" w:fill="B8CCE4" w:themeFill="accent1" w:themeFillTint="66"/>
          </w:tcPr>
          <w:p w14:paraId="5A53FCEA" w14:textId="77777777" w:rsidR="004C3368" w:rsidRDefault="004C3368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VTS49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631A82C2" w14:textId="77777777" w:rsidR="004C3368" w:rsidRDefault="004C3368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39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0B173FF2" w14:textId="77777777" w:rsidR="004C3368" w:rsidRDefault="004C3368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21-25 September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5FCD6DF" w14:textId="29D113C2" w:rsidR="004C3368" w:rsidRDefault="004C3368" w:rsidP="00D314C6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 xml:space="preserve">HQ </w:t>
            </w:r>
          </w:p>
        </w:tc>
      </w:tr>
      <w:tr w:rsidR="004C3368" w14:paraId="3E60BEA5" w14:textId="77777777" w:rsidTr="00F00F3D">
        <w:tc>
          <w:tcPr>
            <w:tcW w:w="2442" w:type="dxa"/>
            <w:shd w:val="clear" w:color="auto" w:fill="B8CCE4" w:themeFill="accent1" w:themeFillTint="66"/>
          </w:tcPr>
          <w:p w14:paraId="6C466887" w14:textId="7435516D" w:rsidR="004C3368" w:rsidRDefault="004C3368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D314C6">
              <w:rPr>
                <w:lang w:eastAsia="de-DE"/>
              </w:rPr>
              <w:t>NAV26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6424E605" w14:textId="77777777" w:rsidR="004C3368" w:rsidRDefault="004C3368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40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6994C11" w14:textId="77777777" w:rsidR="004C3368" w:rsidRDefault="004C3368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28 Sept – 2 October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2082AD9" w14:textId="1C454E14" w:rsidR="004C3368" w:rsidRDefault="00255BA4" w:rsidP="00D314C6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  <w:r w:rsidR="00D314C6">
              <w:rPr>
                <w:lang w:eastAsia="de-DE"/>
              </w:rPr>
              <w:t xml:space="preserve"> </w:t>
            </w:r>
          </w:p>
        </w:tc>
      </w:tr>
      <w:tr w:rsidR="004C3368" w:rsidRPr="00C7517B" w14:paraId="1A206630" w14:textId="77777777" w:rsidTr="00F00F3D">
        <w:tc>
          <w:tcPr>
            <w:tcW w:w="2442" w:type="dxa"/>
            <w:shd w:val="clear" w:color="auto" w:fill="B8CCE4" w:themeFill="accent1" w:themeFillTint="66"/>
          </w:tcPr>
          <w:p w14:paraId="207E8481" w14:textId="7D081E3C" w:rsidR="004C3368" w:rsidRPr="00C7517B" w:rsidRDefault="004C3368" w:rsidP="00F00F3D">
            <w:pPr>
              <w:pStyle w:val="BodyText"/>
              <w:rPr>
                <w:b/>
                <w:lang w:eastAsia="de-DE"/>
              </w:rPr>
            </w:pPr>
            <w:r w:rsidRPr="00C7517B">
              <w:rPr>
                <w:b/>
                <w:lang w:eastAsia="de-DE"/>
              </w:rPr>
              <w:t>IM</w:t>
            </w:r>
            <w:r w:rsidR="00890378">
              <w:rPr>
                <w:b/>
                <w:lang w:eastAsia="de-DE"/>
              </w:rPr>
              <w:t>C</w:t>
            </w:r>
            <w:r w:rsidRPr="00C7517B">
              <w:rPr>
                <w:b/>
                <w:lang w:eastAsia="de-DE"/>
              </w:rPr>
              <w:t xml:space="preserve"> Mid Term Assembly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0AE040F" w14:textId="77777777" w:rsidR="004C3368" w:rsidRPr="00C7517B" w:rsidRDefault="004C3368" w:rsidP="00F00F3D">
            <w:pPr>
              <w:pStyle w:val="BodyText"/>
              <w:rPr>
                <w:b/>
                <w:lang w:eastAsia="de-DE"/>
              </w:rPr>
            </w:pPr>
            <w:r w:rsidRPr="00C7517B">
              <w:rPr>
                <w:b/>
                <w:lang w:eastAsia="de-DE"/>
              </w:rPr>
              <w:t>41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EDE79F6" w14:textId="77777777" w:rsidR="004C3368" w:rsidRPr="00C7517B" w:rsidRDefault="004C3368" w:rsidP="00F00F3D">
            <w:pPr>
              <w:pStyle w:val="BodyText"/>
              <w:rPr>
                <w:b/>
                <w:lang w:eastAsia="de-DE"/>
              </w:rPr>
            </w:pPr>
            <w:r w:rsidRPr="00C7517B">
              <w:rPr>
                <w:b/>
                <w:lang w:eastAsia="de-DE"/>
              </w:rPr>
              <w:t>5-6 October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7F982EB" w14:textId="2E0BF867" w:rsidR="004C3368" w:rsidRPr="00C7517B" w:rsidRDefault="004C3368" w:rsidP="00D314C6">
            <w:pPr>
              <w:pStyle w:val="BodyText"/>
              <w:jc w:val="left"/>
              <w:rPr>
                <w:b/>
                <w:lang w:eastAsia="de-DE"/>
              </w:rPr>
            </w:pPr>
            <w:r w:rsidRPr="00C7517B">
              <w:rPr>
                <w:b/>
                <w:lang w:eastAsia="de-DE"/>
              </w:rPr>
              <w:t>HQ</w:t>
            </w:r>
            <w:r w:rsidR="00FD26ED">
              <w:rPr>
                <w:b/>
                <w:lang w:eastAsia="de-DE"/>
              </w:rPr>
              <w:t xml:space="preserve"> </w:t>
            </w:r>
          </w:p>
        </w:tc>
      </w:tr>
      <w:tr w:rsidR="004C3368" w14:paraId="68FF5450" w14:textId="77777777" w:rsidTr="00F00F3D">
        <w:tc>
          <w:tcPr>
            <w:tcW w:w="2442" w:type="dxa"/>
            <w:shd w:val="clear" w:color="auto" w:fill="B8CCE4" w:themeFill="accent1" w:themeFillTint="66"/>
          </w:tcPr>
          <w:p w14:paraId="67FCF9BB" w14:textId="3949CF62" w:rsidR="004C3368" w:rsidRDefault="00FD26ED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LAP22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6F0560E9" w14:textId="77777777" w:rsidR="004C3368" w:rsidRDefault="004C3368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41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C63ACA7" w14:textId="7094D6C0" w:rsidR="004C3368" w:rsidRDefault="00FD26ED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</w:t>
            </w:r>
            <w:r w:rsidR="004C3368">
              <w:rPr>
                <w:lang w:eastAsia="de-DE"/>
              </w:rPr>
              <w:t>-9 October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6E34C9F" w14:textId="47053696" w:rsidR="004C3368" w:rsidRDefault="004C3368" w:rsidP="00D314C6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  <w:r w:rsidR="00FD26ED">
              <w:rPr>
                <w:lang w:eastAsia="de-DE"/>
              </w:rPr>
              <w:t xml:space="preserve"> </w:t>
            </w:r>
          </w:p>
        </w:tc>
      </w:tr>
      <w:tr w:rsidR="004C3368" w14:paraId="1D8B9033" w14:textId="77777777" w:rsidTr="00F00F3D">
        <w:tc>
          <w:tcPr>
            <w:tcW w:w="2442" w:type="dxa"/>
            <w:shd w:val="clear" w:color="auto" w:fill="B8CCE4" w:themeFill="accent1" w:themeFillTint="66"/>
          </w:tcPr>
          <w:p w14:paraId="26527820" w14:textId="5DE9F8B1" w:rsidR="004C3368" w:rsidRDefault="00FD26ED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</w:t>
            </w:r>
            <w:r w:rsidR="004C3368">
              <w:rPr>
                <w:lang w:eastAsia="de-DE"/>
              </w:rPr>
              <w:t>12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44D72F27" w14:textId="77777777" w:rsidR="004C3368" w:rsidRDefault="004C3368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0E38C89B" w14:textId="77777777" w:rsidR="004C3368" w:rsidRDefault="004C3368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12-16 October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374A931" w14:textId="06C1772A" w:rsidR="004C3368" w:rsidRDefault="004C3368" w:rsidP="00D314C6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  <w:r w:rsidR="00FD26ED">
              <w:rPr>
                <w:lang w:eastAsia="de-DE"/>
              </w:rPr>
              <w:t xml:space="preserve"> </w:t>
            </w:r>
          </w:p>
        </w:tc>
      </w:tr>
      <w:tr w:rsidR="004C3368" w14:paraId="6F5460E0" w14:textId="77777777" w:rsidTr="00F00F3D">
        <w:tc>
          <w:tcPr>
            <w:tcW w:w="2442" w:type="dxa"/>
            <w:shd w:val="clear" w:color="auto" w:fill="B8CCE4" w:themeFill="accent1" w:themeFillTint="66"/>
          </w:tcPr>
          <w:p w14:paraId="0E27AE60" w14:textId="71BF6068" w:rsidR="004C3368" w:rsidRDefault="00FD26ED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359550B" w14:textId="77777777" w:rsidR="004C3368" w:rsidRDefault="004C3368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5205B5E" w14:textId="37F3FA90" w:rsidR="004C3368" w:rsidRDefault="00FD26ED" w:rsidP="00F00F3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19 – 23 October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55DECDB" w14:textId="6B8C7716" w:rsidR="004C3368" w:rsidRDefault="004C3368" w:rsidP="00D314C6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  <w:r w:rsidR="00FD26ED">
              <w:rPr>
                <w:lang w:eastAsia="de-DE"/>
              </w:rPr>
              <w:t xml:space="preserve"> </w:t>
            </w:r>
          </w:p>
        </w:tc>
      </w:tr>
      <w:tr w:rsidR="004C3368" w:rsidRPr="00C7517B" w14:paraId="004E29C8" w14:textId="77777777" w:rsidTr="00F00F3D">
        <w:tc>
          <w:tcPr>
            <w:tcW w:w="2442" w:type="dxa"/>
            <w:shd w:val="clear" w:color="auto" w:fill="B8CCE4" w:themeFill="accent1" w:themeFillTint="66"/>
          </w:tcPr>
          <w:p w14:paraId="131570FB" w14:textId="0C5D941F" w:rsidR="004C3368" w:rsidRPr="00C7517B" w:rsidRDefault="004C3368" w:rsidP="00F00F3D">
            <w:pPr>
              <w:pStyle w:val="BodyText"/>
              <w:rPr>
                <w:b/>
                <w:lang w:eastAsia="de-DE"/>
              </w:rPr>
            </w:pPr>
            <w:r w:rsidRPr="00C7517B">
              <w:rPr>
                <w:b/>
                <w:lang w:eastAsia="de-DE"/>
              </w:rPr>
              <w:t xml:space="preserve">Cybersecurity </w:t>
            </w:r>
            <w:r w:rsidR="00890378">
              <w:rPr>
                <w:b/>
                <w:lang w:eastAsia="de-DE"/>
              </w:rPr>
              <w:t>W</w:t>
            </w:r>
            <w:r w:rsidRPr="00C7517B">
              <w:rPr>
                <w:b/>
                <w:lang w:eastAsia="de-DE"/>
              </w:rPr>
              <w:t>orkshop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89C0D8C" w14:textId="77777777" w:rsidR="004C3368" w:rsidRPr="00C7517B" w:rsidRDefault="004C3368" w:rsidP="00F00F3D">
            <w:pPr>
              <w:pStyle w:val="BodyText"/>
              <w:rPr>
                <w:b/>
                <w:lang w:eastAsia="de-DE"/>
              </w:rPr>
            </w:pPr>
            <w:r w:rsidRPr="00C7517B">
              <w:rPr>
                <w:b/>
                <w:lang w:eastAsia="de-DE"/>
              </w:rPr>
              <w:t>44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5C08ED2" w14:textId="77777777" w:rsidR="004C3368" w:rsidRPr="00C7517B" w:rsidRDefault="004C3368" w:rsidP="00F00F3D">
            <w:pPr>
              <w:pStyle w:val="BodyText"/>
              <w:rPr>
                <w:b/>
                <w:lang w:eastAsia="de-DE"/>
              </w:rPr>
            </w:pPr>
            <w:r w:rsidRPr="00C7517B">
              <w:rPr>
                <w:b/>
                <w:lang w:eastAsia="de-DE"/>
              </w:rPr>
              <w:t>26-30 October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DF37E27" w14:textId="77777777" w:rsidR="004C3368" w:rsidRDefault="004C3368" w:rsidP="00FD26ED">
            <w:pPr>
              <w:pStyle w:val="BodyText"/>
              <w:spacing w:after="0"/>
              <w:jc w:val="left"/>
              <w:rPr>
                <w:b/>
                <w:lang w:eastAsia="de-DE"/>
              </w:rPr>
            </w:pPr>
            <w:r w:rsidRPr="00C7517B">
              <w:rPr>
                <w:b/>
                <w:lang w:eastAsia="de-DE"/>
              </w:rPr>
              <w:t>Québec, Canada</w:t>
            </w:r>
          </w:p>
          <w:p w14:paraId="5733FBC2" w14:textId="3B7CCDBF" w:rsidR="00FD26ED" w:rsidRPr="00FD26ED" w:rsidRDefault="00FD26ED" w:rsidP="00D314C6">
            <w:pPr>
              <w:pStyle w:val="BodyText"/>
              <w:jc w:val="left"/>
              <w:rPr>
                <w:b/>
                <w:i/>
                <w:lang w:eastAsia="de-DE"/>
              </w:rPr>
            </w:pPr>
          </w:p>
        </w:tc>
      </w:tr>
      <w:tr w:rsidR="004C3368" w:rsidRPr="00543B21" w14:paraId="6DB096F1" w14:textId="77777777" w:rsidTr="00F00F3D">
        <w:tc>
          <w:tcPr>
            <w:tcW w:w="2442" w:type="dxa"/>
            <w:shd w:val="clear" w:color="auto" w:fill="B8CCE4" w:themeFill="accent1" w:themeFillTint="66"/>
          </w:tcPr>
          <w:p w14:paraId="51A58B23" w14:textId="77777777" w:rsidR="004C3368" w:rsidRPr="00543B21" w:rsidRDefault="004C3368" w:rsidP="00F00F3D">
            <w:pPr>
              <w:pStyle w:val="BodyText"/>
              <w:rPr>
                <w:b/>
                <w:lang w:eastAsia="de-DE"/>
              </w:rPr>
            </w:pPr>
            <w:r w:rsidRPr="00543B21">
              <w:rPr>
                <w:b/>
                <w:lang w:eastAsia="de-DE"/>
              </w:rPr>
              <w:t>Council 72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6D7A15F" w14:textId="77777777" w:rsidR="004C3368" w:rsidRPr="00543B21" w:rsidRDefault="004C3368" w:rsidP="00F00F3D">
            <w:pPr>
              <w:pStyle w:val="BodyText"/>
              <w:rPr>
                <w:b/>
                <w:lang w:eastAsia="de-DE"/>
              </w:rPr>
            </w:pPr>
            <w:r w:rsidRPr="00543B21">
              <w:rPr>
                <w:b/>
                <w:lang w:eastAsia="de-DE"/>
              </w:rPr>
              <w:t>50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95691B4" w14:textId="77777777" w:rsidR="004C3368" w:rsidRPr="00543B21" w:rsidRDefault="004C3368" w:rsidP="00F00F3D">
            <w:pPr>
              <w:pStyle w:val="BodyText"/>
              <w:rPr>
                <w:b/>
                <w:lang w:eastAsia="de-DE"/>
              </w:rPr>
            </w:pPr>
            <w:r w:rsidRPr="00543B21">
              <w:rPr>
                <w:b/>
                <w:lang w:eastAsia="de-DE"/>
              </w:rPr>
              <w:t>7-11 December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9207836" w14:textId="3DEDEC3B" w:rsidR="004C3368" w:rsidRPr="00543B21" w:rsidRDefault="004C3368" w:rsidP="00D314C6">
            <w:pPr>
              <w:pStyle w:val="BodyText"/>
              <w:jc w:val="left"/>
              <w:rPr>
                <w:b/>
                <w:lang w:eastAsia="de-DE"/>
              </w:rPr>
            </w:pPr>
            <w:r w:rsidRPr="00543B21">
              <w:rPr>
                <w:b/>
                <w:lang w:eastAsia="de-DE"/>
              </w:rPr>
              <w:t>HQ</w:t>
            </w:r>
            <w:r w:rsidR="00FD26ED">
              <w:rPr>
                <w:b/>
                <w:lang w:eastAsia="de-DE"/>
              </w:rPr>
              <w:t xml:space="preserve"> </w:t>
            </w:r>
          </w:p>
        </w:tc>
      </w:tr>
    </w:tbl>
    <w:p w14:paraId="10A156FD" w14:textId="060807E4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52555034" w14:textId="2EE32302" w:rsidR="000C390D" w:rsidRPr="000C390D" w:rsidRDefault="00C45B34" w:rsidP="000C390D">
      <w:pPr>
        <w:pStyle w:val="BodyText"/>
        <w:rPr>
          <w:lang w:eastAsia="de-DE"/>
        </w:rPr>
      </w:pPr>
      <w:r>
        <w:rPr>
          <w:lang w:eastAsia="de-DE"/>
        </w:rPr>
        <w:t xml:space="preserve">PAP is requested to discuss and approve meeting dates for the </w:t>
      </w:r>
      <w:r w:rsidR="004C3368">
        <w:rPr>
          <w:lang w:eastAsia="de-DE"/>
        </w:rPr>
        <w:t>second</w:t>
      </w:r>
      <w:r>
        <w:rPr>
          <w:lang w:eastAsia="de-DE"/>
        </w:rPr>
        <w:t xml:space="preserve"> half of 2020</w:t>
      </w:r>
      <w:r w:rsidR="004C3368">
        <w:rPr>
          <w:lang w:eastAsia="de-DE"/>
        </w:rPr>
        <w:t>.</w:t>
      </w:r>
      <w:r>
        <w:rPr>
          <w:lang w:eastAsia="de-DE"/>
        </w:rPr>
        <w:t xml:space="preserve"> </w:t>
      </w:r>
    </w:p>
    <w:sectPr w:rsidR="000C390D" w:rsidRPr="000C390D" w:rsidSect="006A7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E15AB" w14:textId="77777777" w:rsidR="0064076E" w:rsidRDefault="0064076E" w:rsidP="00362CD9">
      <w:r>
        <w:separator/>
      </w:r>
    </w:p>
  </w:endnote>
  <w:endnote w:type="continuationSeparator" w:id="0">
    <w:p w14:paraId="2D79A9F3" w14:textId="77777777" w:rsidR="0064076E" w:rsidRDefault="0064076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355EE" w:rsidRPr="00A355EE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Pieddepage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A355EE" w:rsidRPr="00A355EE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0BCEE" w14:textId="50C7FBD0" w:rsidR="006A78D5" w:rsidRDefault="006A78D5">
    <w:pPr>
      <w:rPr>
        <w:rFonts w:asciiTheme="majorHAnsi" w:eastAsiaTheme="majorEastAsia" w:hAnsiTheme="majorHAnsi" w:cstheme="majorBidi"/>
      </w:rPr>
    </w:pPr>
  </w:p>
  <w:p w14:paraId="2328FBAE" w14:textId="77777777" w:rsidR="006A78D5" w:rsidRDefault="006A78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B8C91" w14:textId="77777777" w:rsidR="00890378" w:rsidRDefault="008903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08134" w14:textId="77777777" w:rsidR="0064076E" w:rsidRDefault="0064076E" w:rsidP="00362CD9">
      <w:r>
        <w:separator/>
      </w:r>
    </w:p>
  </w:footnote>
  <w:footnote w:type="continuationSeparator" w:id="0">
    <w:p w14:paraId="21774BD4" w14:textId="77777777" w:rsidR="0064076E" w:rsidRDefault="0064076E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5ACC74D1" w:rsidR="007C346C" w:rsidRDefault="00D10CF3" w:rsidP="006A78D5">
    <w:pPr>
      <w:pStyle w:val="Header"/>
      <w:tabs>
        <w:tab w:val="clear" w:pos="9639"/>
        <w:tab w:val="right" w:pos="5954"/>
      </w:tabs>
      <w:spacing w:after="240"/>
    </w:pPr>
    <w:r>
      <w:rPr>
        <w:noProof/>
      </w:rPr>
      <w:pict w14:anchorId="5E6EC6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8194" type="#_x0000_t136" style="position:absolute;margin-left:0;margin-top:0;width:492.5pt;height:197pt;rotation:315;z-index:-25163776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6A78D5"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5B34">
      <w:rPr>
        <w:rFonts w:ascii="Calibri" w:hAnsi="Calibri"/>
      </w:rPr>
      <w:t>PAP37-4.10.7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771F654A" w:rsidR="007C346C" w:rsidRDefault="00D10CF3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noProof/>
      </w:rPr>
      <w:pict w14:anchorId="756BC3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8195" type="#_x0000_t136" style="position:absolute;left:0;text-align:left;margin-left:0;margin-top:0;width:492.5pt;height:197pt;rotation:315;z-index:-25163571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6A78D5"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PAP3</w:t>
    </w:r>
    <w:r w:rsidR="004C3368">
      <w:rPr>
        <w:rFonts w:ascii="Calibri" w:hAnsi="Calibri"/>
      </w:rPr>
      <w:t>8-</w:t>
    </w:r>
    <w:r w:rsidR="00890378">
      <w:rPr>
        <w:rFonts w:ascii="Calibri" w:hAnsi="Calibri"/>
      </w:rPr>
      <w:t>5.9.3.1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2E0B00D2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 w:numId="34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3C8F"/>
    <w:rsid w:val="00096180"/>
    <w:rsid w:val="000A1C2F"/>
    <w:rsid w:val="000A77A7"/>
    <w:rsid w:val="000B1707"/>
    <w:rsid w:val="000C1B3E"/>
    <w:rsid w:val="000C390D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BA4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A58B1"/>
    <w:rsid w:val="003A6B95"/>
    <w:rsid w:val="003B28F5"/>
    <w:rsid w:val="003B7B7D"/>
    <w:rsid w:val="003C54CB"/>
    <w:rsid w:val="003C7A2A"/>
    <w:rsid w:val="003D2DC1"/>
    <w:rsid w:val="003D69D0"/>
    <w:rsid w:val="003E6583"/>
    <w:rsid w:val="003E705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2026"/>
    <w:rsid w:val="00476A3D"/>
    <w:rsid w:val="00480C49"/>
    <w:rsid w:val="00484701"/>
    <w:rsid w:val="00493978"/>
    <w:rsid w:val="004B27BB"/>
    <w:rsid w:val="004C3368"/>
    <w:rsid w:val="004D1D85"/>
    <w:rsid w:val="004D3C3A"/>
    <w:rsid w:val="004D6B41"/>
    <w:rsid w:val="004E1CD1"/>
    <w:rsid w:val="004F5E28"/>
    <w:rsid w:val="00502E73"/>
    <w:rsid w:val="005107EB"/>
    <w:rsid w:val="0051142F"/>
    <w:rsid w:val="00511B87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4076E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F2A74"/>
    <w:rsid w:val="007076D8"/>
    <w:rsid w:val="007118F5"/>
    <w:rsid w:val="00712AA4"/>
    <w:rsid w:val="007146C4"/>
    <w:rsid w:val="00717A6A"/>
    <w:rsid w:val="00721AA1"/>
    <w:rsid w:val="00724B67"/>
    <w:rsid w:val="00741BBC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4302"/>
    <w:rsid w:val="0085654D"/>
    <w:rsid w:val="008565D7"/>
    <w:rsid w:val="00857F73"/>
    <w:rsid w:val="00861160"/>
    <w:rsid w:val="0086654F"/>
    <w:rsid w:val="00890378"/>
    <w:rsid w:val="00890C0A"/>
    <w:rsid w:val="008A1F6A"/>
    <w:rsid w:val="008A356F"/>
    <w:rsid w:val="008A4653"/>
    <w:rsid w:val="008A4717"/>
    <w:rsid w:val="008A50CC"/>
    <w:rsid w:val="008B4798"/>
    <w:rsid w:val="008B71A4"/>
    <w:rsid w:val="008D1694"/>
    <w:rsid w:val="008D79CB"/>
    <w:rsid w:val="008E307B"/>
    <w:rsid w:val="008F07BC"/>
    <w:rsid w:val="008F2E8B"/>
    <w:rsid w:val="0092692B"/>
    <w:rsid w:val="00927B22"/>
    <w:rsid w:val="00943E9C"/>
    <w:rsid w:val="00953F4D"/>
    <w:rsid w:val="00955310"/>
    <w:rsid w:val="00960BB8"/>
    <w:rsid w:val="00964F5C"/>
    <w:rsid w:val="00976184"/>
    <w:rsid w:val="009831C0"/>
    <w:rsid w:val="0099161D"/>
    <w:rsid w:val="009A3528"/>
    <w:rsid w:val="009E4368"/>
    <w:rsid w:val="00A0389B"/>
    <w:rsid w:val="00A23887"/>
    <w:rsid w:val="00A33AE9"/>
    <w:rsid w:val="00A34B6F"/>
    <w:rsid w:val="00A355EE"/>
    <w:rsid w:val="00A446C9"/>
    <w:rsid w:val="00A44CC4"/>
    <w:rsid w:val="00A47A79"/>
    <w:rsid w:val="00A5265A"/>
    <w:rsid w:val="00A635D6"/>
    <w:rsid w:val="00A72837"/>
    <w:rsid w:val="00A826FE"/>
    <w:rsid w:val="00A8553A"/>
    <w:rsid w:val="00A93AED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CD6"/>
    <w:rsid w:val="00B90A27"/>
    <w:rsid w:val="00B94A9F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5CE5"/>
    <w:rsid w:val="00C0600A"/>
    <w:rsid w:val="00C21722"/>
    <w:rsid w:val="00C24015"/>
    <w:rsid w:val="00C45B34"/>
    <w:rsid w:val="00C52FAC"/>
    <w:rsid w:val="00C6171E"/>
    <w:rsid w:val="00C845BE"/>
    <w:rsid w:val="00CA6F2C"/>
    <w:rsid w:val="00CE09A1"/>
    <w:rsid w:val="00CE63B2"/>
    <w:rsid w:val="00CF1871"/>
    <w:rsid w:val="00D019CE"/>
    <w:rsid w:val="00D102D6"/>
    <w:rsid w:val="00D10CF3"/>
    <w:rsid w:val="00D1133E"/>
    <w:rsid w:val="00D17A34"/>
    <w:rsid w:val="00D26628"/>
    <w:rsid w:val="00D314C6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558C3"/>
    <w:rsid w:val="00E55927"/>
    <w:rsid w:val="00E627A8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26ED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6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83A19-308B-4E97-9D66-E99B9FD9F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4</cp:revision>
  <dcterms:created xsi:type="dcterms:W3CDTF">2019-09-04T10:47:00Z</dcterms:created>
  <dcterms:modified xsi:type="dcterms:W3CDTF">2019-09-04T10:50:00Z</dcterms:modified>
</cp:coreProperties>
</file>